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CAMCOLIT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ESSENTIAL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N05AN01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0,0395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0,0664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01.04.2024 - Mise à jour 01.04.2024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