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50FF1" w14:textId="77777777" w:rsidR="00E73476" w:rsidRPr="00C21637" w:rsidRDefault="00E73476" w:rsidP="00E73476">
      <w:pPr>
        <w:shd w:val="clear" w:color="auto" w:fill="FFFFFF"/>
        <w:spacing w:after="0" w:line="240" w:lineRule="auto"/>
        <w:jc w:val="both"/>
        <w:outlineLvl w:val="0"/>
        <w:rPr>
          <w:rFonts w:ascii="Trebuchet MS" w:eastAsia="Times New Roman" w:hAnsi="Trebuchet MS" w:cs="Times New Roman"/>
          <w:b/>
          <w:bCs/>
          <w:color w:val="2D3235"/>
          <w:kern w:val="36"/>
          <w:sz w:val="35"/>
          <w:szCs w:val="35"/>
          <w:lang w:val="fr-BE" w:eastAsia="en-GB"/>
        </w:rPr>
      </w:pPr>
      <w:bookmarkStart w:id="0" w:name="_GoBack"/>
      <w:bookmarkEnd w:id="0"/>
      <w:r w:rsidRPr="00F91C2B">
        <w:rPr>
          <w:rFonts w:ascii="Trebuchet MS" w:eastAsia="Times New Roman" w:hAnsi="Trebuchet MS" w:cs="Times New Roman"/>
          <w:b/>
          <w:bCs/>
          <w:color w:val="2D3235"/>
          <w:kern w:val="36"/>
          <w:sz w:val="35"/>
          <w:szCs w:val="35"/>
          <w:lang w:val="fr" w:eastAsia="en-GB"/>
        </w:rPr>
        <w:t>Continuité des soins par les médecins spécialistes : prestations et remboursement dans le contexte de la crise du COVID-19</w:t>
      </w:r>
    </w:p>
    <w:p w14:paraId="1ED14B12" w14:textId="77777777" w:rsidR="00E73476" w:rsidRPr="00C21637" w:rsidRDefault="00E73476" w:rsidP="00E73476">
      <w:pPr>
        <w:jc w:val="both"/>
        <w:rPr>
          <w:lang w:val="fr-BE"/>
        </w:rPr>
      </w:pPr>
    </w:p>
    <w:p w14:paraId="5E39C60F" w14:textId="77777777" w:rsidR="00E73476" w:rsidRPr="00C21637" w:rsidRDefault="00E73476" w:rsidP="00C21637">
      <w:pPr>
        <w:spacing w:after="0"/>
        <w:jc w:val="both"/>
        <w:rPr>
          <w:rFonts w:cstheme="minorHAnsi"/>
          <w:lang w:val="fr"/>
        </w:rPr>
      </w:pPr>
      <w:r w:rsidRPr="00C21637">
        <w:rPr>
          <w:rFonts w:cstheme="minorHAnsi"/>
          <w:lang w:val="fr"/>
        </w:rPr>
        <w:t>Nous voulons garantir la qualité et la continuité des soins, même en période de crise du COVID-19, tout en respectant bien sûr les règles de distanciation sociale.</w:t>
      </w:r>
    </w:p>
    <w:p w14:paraId="69700317" w14:textId="77777777" w:rsidR="00E73476" w:rsidRPr="00C21637" w:rsidRDefault="00E73476" w:rsidP="00C21637">
      <w:pPr>
        <w:spacing w:after="0"/>
        <w:jc w:val="both"/>
        <w:rPr>
          <w:rFonts w:cstheme="minorHAnsi"/>
          <w:lang w:val="fr"/>
        </w:rPr>
      </w:pPr>
    </w:p>
    <w:p w14:paraId="09337ACD" w14:textId="77777777" w:rsidR="00E73476" w:rsidRPr="00C21637" w:rsidRDefault="00E73476" w:rsidP="00C21637">
      <w:pPr>
        <w:spacing w:after="0"/>
        <w:jc w:val="both"/>
        <w:rPr>
          <w:rFonts w:cstheme="minorHAnsi"/>
          <w:lang w:val="fr"/>
        </w:rPr>
      </w:pPr>
      <w:r w:rsidRPr="00C21637">
        <w:rPr>
          <w:rFonts w:cstheme="minorHAnsi"/>
          <w:lang w:val="fr"/>
        </w:rPr>
        <w:t>C’est pourquoi nous adaptons certaines règles de l’assurance soins de santé pour le remboursement des prestations effectuées par des médecins spécialistes (articles de la nomenclature 1, 2, 3, 9, 10, 11, 12, 13, 14, 15, 16, 17, 18, 19, 20, 21, 22 23, 24, 24bis, 25, 26, 32, 33, 33bis, 33ter et 34).</w:t>
      </w:r>
    </w:p>
    <w:p w14:paraId="16FABE1A" w14:textId="77777777" w:rsidR="00E73476" w:rsidRPr="00C21637" w:rsidRDefault="00E73476" w:rsidP="00C21637">
      <w:pPr>
        <w:spacing w:after="0"/>
        <w:jc w:val="both"/>
        <w:rPr>
          <w:rFonts w:cstheme="minorHAnsi"/>
          <w:lang w:val="fr"/>
        </w:rPr>
      </w:pPr>
      <w:r w:rsidRPr="00C21637">
        <w:rPr>
          <w:rFonts w:cstheme="minorHAnsi"/>
          <w:lang w:val="fr"/>
        </w:rPr>
        <w:t>Ces mesures sont d’application à partir du 1er mars et le resteront pendant toute la durée de la crise du COVID-19.</w:t>
      </w:r>
    </w:p>
    <w:p w14:paraId="2C5BA4B1" w14:textId="77777777" w:rsidR="00E73476" w:rsidRPr="00C21637" w:rsidRDefault="00E73476" w:rsidP="00C21637">
      <w:pPr>
        <w:spacing w:after="0"/>
        <w:jc w:val="both"/>
        <w:rPr>
          <w:rFonts w:cstheme="minorHAnsi"/>
          <w:lang w:val="fr"/>
        </w:rPr>
      </w:pPr>
    </w:p>
    <w:p w14:paraId="52C9EB73" w14:textId="77777777" w:rsidR="002B1A74" w:rsidRPr="00C21637" w:rsidRDefault="002B1A74" w:rsidP="002B1A74">
      <w:pPr>
        <w:jc w:val="both"/>
        <w:rPr>
          <w:rFonts w:ascii="Trebuchet MS" w:eastAsiaTheme="majorEastAsia" w:hAnsi="Trebuchet MS" w:cstheme="majorBidi"/>
          <w:color w:val="02819B"/>
          <w:sz w:val="25"/>
          <w:szCs w:val="25"/>
          <w:lang w:val="fr-BE"/>
        </w:rPr>
      </w:pPr>
      <w:r w:rsidRPr="003A3186">
        <w:rPr>
          <w:rFonts w:ascii="Trebuchet MS" w:eastAsiaTheme="majorEastAsia" w:hAnsi="Trebuchet MS" w:cstheme="majorBidi"/>
          <w:color w:val="02819B"/>
          <w:sz w:val="25"/>
          <w:szCs w:val="25"/>
          <w:lang w:val="fr"/>
        </w:rPr>
        <w:t>Les conditions de remboursement liées à l'âge seront-elles adaptées ?</w:t>
      </w:r>
    </w:p>
    <w:p w14:paraId="275A69C1" w14:textId="77777777" w:rsidR="002B1A74" w:rsidRPr="00C21637" w:rsidRDefault="002B1A74" w:rsidP="002B1A74">
      <w:pPr>
        <w:spacing w:after="0"/>
        <w:jc w:val="both"/>
        <w:rPr>
          <w:rFonts w:cstheme="minorHAnsi"/>
          <w:lang w:val="fr-BE"/>
        </w:rPr>
      </w:pPr>
      <w:r w:rsidRPr="00F635E5">
        <w:rPr>
          <w:rFonts w:cstheme="minorHAnsi"/>
          <w:lang w:val="fr"/>
        </w:rPr>
        <w:t>Si une condition d’âge maximum est mentionnée dans les conditions de remboursement d’une prestation et si le bénéficiaire atteint cet âge pendant la période du COVID-19, cet âge sera prolongé de 6 mois.</w:t>
      </w:r>
    </w:p>
    <w:p w14:paraId="5297D5D2" w14:textId="77777777" w:rsidR="00BB2D73" w:rsidRPr="00C21637" w:rsidRDefault="002B1A74" w:rsidP="002B1A74">
      <w:pPr>
        <w:jc w:val="both"/>
        <w:rPr>
          <w:lang w:val="fr-BE"/>
        </w:rPr>
      </w:pPr>
      <w:r w:rsidRPr="00B760E8">
        <w:rPr>
          <w:lang w:val="fr"/>
        </w:rPr>
        <w:t>Cela signifie que les textes de la nomenclature doivent être lus comme, par exemple : « moins de 18 ans et 6 mois » au lieu de « moins de 18 ans ».</w:t>
      </w:r>
    </w:p>
    <w:p w14:paraId="25F2C8C9" w14:textId="77777777" w:rsidR="00BB2D73" w:rsidRPr="00C21637" w:rsidRDefault="00BB2D73" w:rsidP="002B1A74">
      <w:pPr>
        <w:jc w:val="both"/>
        <w:rPr>
          <w:lang w:val="fr-BE"/>
        </w:rPr>
      </w:pPr>
      <w:r>
        <w:rPr>
          <w:lang w:val="fr"/>
        </w:rPr>
        <w:t>Si un âge de … à … est mentionné, seule la partie « à … » est prolongée de 6 mois.</w:t>
      </w:r>
    </w:p>
    <w:p w14:paraId="6E0D8548" w14:textId="77777777" w:rsidR="00BB2D73" w:rsidRPr="00C21637" w:rsidRDefault="00BB2D73" w:rsidP="002B1A74">
      <w:pPr>
        <w:jc w:val="both"/>
        <w:rPr>
          <w:lang w:val="fr-BE"/>
        </w:rPr>
      </w:pPr>
      <w:r>
        <w:rPr>
          <w:lang w:val="fr"/>
        </w:rPr>
        <w:t>Pour la mammographie des deux seins, dans le cadre d’un dépistage de masse organisé par un gouvernement, l’âge est prolongé de 1 an pour le bénéficiaire qui atteint l’âge de 69 ans pendant la période du COVID-19.</w:t>
      </w:r>
    </w:p>
    <w:p w14:paraId="17BF1930" w14:textId="77777777" w:rsidR="002B1A74" w:rsidRPr="00C21637" w:rsidRDefault="002B1A74" w:rsidP="002B1A74">
      <w:pPr>
        <w:jc w:val="both"/>
        <w:rPr>
          <w:rFonts w:ascii="Trebuchet MS" w:eastAsiaTheme="majorEastAsia" w:hAnsi="Trebuchet MS" w:cstheme="majorBidi"/>
          <w:color w:val="02819B"/>
          <w:sz w:val="25"/>
          <w:szCs w:val="25"/>
          <w:lang w:val="fr-BE"/>
        </w:rPr>
      </w:pPr>
      <w:r w:rsidRPr="003A3186">
        <w:rPr>
          <w:rFonts w:ascii="Trebuchet MS" w:eastAsiaTheme="majorEastAsia" w:hAnsi="Trebuchet MS" w:cstheme="majorBidi"/>
          <w:color w:val="02819B"/>
          <w:sz w:val="25"/>
          <w:szCs w:val="25"/>
          <w:lang w:val="fr"/>
        </w:rPr>
        <w:t xml:space="preserve">Le délai d’exécution est-il prolongé ? </w:t>
      </w:r>
    </w:p>
    <w:p w14:paraId="19360DFF" w14:textId="77777777" w:rsidR="007F78A6" w:rsidRPr="00C21637" w:rsidRDefault="008C0640" w:rsidP="002B1A74">
      <w:pPr>
        <w:jc w:val="both"/>
        <w:rPr>
          <w:rFonts w:ascii="Calibri" w:eastAsia="Calibri" w:hAnsi="Calibri" w:cs="Times New Roman"/>
          <w:b/>
          <w:lang w:val="fr-BE"/>
        </w:rPr>
      </w:pPr>
      <w:r w:rsidRPr="00310C6F">
        <w:rPr>
          <w:rFonts w:ascii="Calibri" w:eastAsia="Calibri" w:hAnsi="Calibri" w:cs="Times New Roman"/>
          <w:b/>
          <w:lang w:val="fr"/>
        </w:rPr>
        <w:t>Toutes les conditions de remboursement ayant un délai maximum sont prolongées de 6 mois pour les prestations et les règles d’application suivantes si au moins 1 jour de ce délai tombe pendant la période du COVID-19 (le début de cette période est le 1</w:t>
      </w:r>
      <w:r w:rsidRPr="00310C6F">
        <w:rPr>
          <w:rFonts w:ascii="Calibri" w:eastAsia="Calibri" w:hAnsi="Calibri" w:cs="Times New Roman"/>
          <w:b/>
          <w:vertAlign w:val="superscript"/>
          <w:lang w:val="fr"/>
        </w:rPr>
        <w:t>er</w:t>
      </w:r>
      <w:r w:rsidRPr="00310C6F">
        <w:rPr>
          <w:rFonts w:ascii="Calibri" w:eastAsia="Calibri" w:hAnsi="Calibri" w:cs="Times New Roman"/>
          <w:b/>
          <w:lang w:val="fr"/>
        </w:rPr>
        <w:t> mars 2020) :</w:t>
      </w:r>
    </w:p>
    <w:p w14:paraId="49C3B505" w14:textId="77777777" w:rsidR="00E506F8" w:rsidRPr="00C21637" w:rsidRDefault="00E506F8" w:rsidP="002B1A74">
      <w:pPr>
        <w:jc w:val="both"/>
        <w:rPr>
          <w:rFonts w:ascii="Calibri" w:eastAsia="Calibri" w:hAnsi="Calibri" w:cs="Times New Roman"/>
          <w:b/>
          <w:lang w:val="fr-BE"/>
        </w:rPr>
      </w:pPr>
      <w:r w:rsidRPr="0078462B">
        <w:rPr>
          <w:rFonts w:ascii="Calibri" w:eastAsia="Calibri" w:hAnsi="Calibri" w:cs="Times New Roman"/>
          <w:b/>
          <w:lang w:val="fr"/>
        </w:rPr>
        <w:t xml:space="preserve">Article 12 </w:t>
      </w:r>
    </w:p>
    <w:p w14:paraId="7404624C" w14:textId="77777777" w:rsidR="00E506F8" w:rsidRPr="00C21637" w:rsidRDefault="00E506F8" w:rsidP="00E506F8">
      <w:pPr>
        <w:jc w:val="both"/>
        <w:rPr>
          <w:rFonts w:ascii="Calibri" w:eastAsia="Calibri" w:hAnsi="Calibri" w:cs="Times New Roman"/>
          <w:lang w:val="fr-BE"/>
        </w:rPr>
      </w:pPr>
      <w:r w:rsidRPr="00E506F8">
        <w:rPr>
          <w:rFonts w:ascii="Calibri" w:eastAsia="Calibri" w:hAnsi="Calibri" w:cs="Times New Roman"/>
          <w:lang w:val="fr"/>
        </w:rPr>
        <w:t>L’intervention de l’assurance pour les prestations thérapeutiques 202451 - 202462, 202473 - 202484, 202495 - 202506, 202532 - 202543, 202554 - 202565, 202591 - 202602, 202613 - 202624, 202650 - 202661, 202672 - 202683 et 202753 - 202764 n’est due que si le patient a eu au moins une fois un blocage diagnostique sélectif mentionné sous les numéros de prestation respectifs 202436 - 202440, 202510 - 202521, 202576 - 202580, 202635 - 202646 en 202731 - 202742, au maximum trois mois avant la première des prestations thérapeutiques susmentionnées ou avant la première prestation thérapeutique, après une interruption de plus de douze mois.</w:t>
      </w:r>
    </w:p>
    <w:p w14:paraId="673BE383" w14:textId="77777777" w:rsidR="00E506F8" w:rsidRPr="00C21637" w:rsidRDefault="00E506F8" w:rsidP="00E506F8">
      <w:pPr>
        <w:jc w:val="both"/>
        <w:rPr>
          <w:rFonts w:ascii="Calibri" w:eastAsia="Calibri" w:hAnsi="Calibri" w:cs="Times New Roman"/>
          <w:lang w:val="fr-BE"/>
        </w:rPr>
      </w:pPr>
    </w:p>
    <w:p w14:paraId="7F93F3A0" w14:textId="77777777" w:rsidR="00E506F8" w:rsidRPr="00F948EB" w:rsidRDefault="00E506F8" w:rsidP="00E506F8">
      <w:pPr>
        <w:jc w:val="both"/>
        <w:rPr>
          <w:rFonts w:ascii="Calibri" w:eastAsia="Calibri" w:hAnsi="Calibri" w:cs="Times New Roman"/>
          <w:b/>
          <w:lang w:val="fr-BE"/>
        </w:rPr>
      </w:pPr>
      <w:r w:rsidRPr="00310C6F">
        <w:rPr>
          <w:rFonts w:ascii="Calibri" w:eastAsia="Calibri" w:hAnsi="Calibri" w:cs="Times New Roman"/>
          <w:b/>
          <w:lang w:val="fr"/>
        </w:rPr>
        <w:lastRenderedPageBreak/>
        <w:t>Article 14 h</w:t>
      </w:r>
    </w:p>
    <w:p w14:paraId="69F63590" w14:textId="77777777" w:rsidR="00E506F8" w:rsidRDefault="00E506F8" w:rsidP="00E506F8">
      <w:pPr>
        <w:jc w:val="both"/>
        <w:rPr>
          <w:rFonts w:ascii="Calibri" w:eastAsia="Calibri" w:hAnsi="Calibri" w:cs="Times New Roman"/>
          <w:lang w:val="fr"/>
        </w:rPr>
      </w:pPr>
      <w:r w:rsidRPr="00E506F8">
        <w:rPr>
          <w:rFonts w:ascii="Calibri" w:eastAsia="Calibri" w:hAnsi="Calibri" w:cs="Times New Roman"/>
          <w:lang w:val="fr"/>
        </w:rPr>
        <w:t>La prestation 248430-248441 ne peut être attestée qu’une seule fois par patient dans les 90 jours précédant la prestation 246654-246665 ou 246772-246783 et qu’une seule fois par patient dans les 90 jours suivant la prestation 246654-246665 ou 246772-246783.</w:t>
      </w:r>
    </w:p>
    <w:p w14:paraId="2571B9A5" w14:textId="77777777" w:rsidR="005C2CDB" w:rsidRPr="00EE1407" w:rsidRDefault="005C2CDB" w:rsidP="00E506F8">
      <w:pPr>
        <w:jc w:val="both"/>
        <w:rPr>
          <w:rFonts w:ascii="Calibri" w:eastAsia="Calibri" w:hAnsi="Calibri" w:cs="Times New Roman"/>
          <w:lang w:val="fr-BE"/>
        </w:rPr>
      </w:pPr>
      <w:r w:rsidRPr="00ED79ED">
        <w:rPr>
          <w:rFonts w:ascii="Calibri" w:eastAsia="Calibri" w:hAnsi="Calibri" w:cs="Times New Roman"/>
          <w:lang w:val="fr-BE"/>
        </w:rPr>
        <w:t>La prestation 248452-248463 ne peut être attestée que maximum une fois par patient dans les 90 jours précédant les prestations 246912-246923, 246595-246606, 246610-246621, 246676-246680, 246934-246945 ou 246890-246901.</w:t>
      </w:r>
    </w:p>
    <w:p w14:paraId="16EBAABD" w14:textId="558B138E" w:rsidR="00E506F8" w:rsidRDefault="00E506F8" w:rsidP="00E506F8">
      <w:pPr>
        <w:jc w:val="both"/>
        <w:rPr>
          <w:rFonts w:ascii="Calibri" w:eastAsia="Calibri" w:hAnsi="Calibri" w:cs="Times New Roman"/>
          <w:lang w:val="fr"/>
        </w:rPr>
      </w:pPr>
      <w:r w:rsidRPr="00E506F8">
        <w:rPr>
          <w:rFonts w:ascii="Calibri" w:eastAsia="Calibri" w:hAnsi="Calibri" w:cs="Times New Roman"/>
          <w:lang w:val="fr"/>
        </w:rPr>
        <w:t>Les prestations 248172 - 248183, 248194 - 248205, 248216 - 248220, 248231 - 248242, 248253 - 248264, 248275 - 248286, 248290 - 248301 et 248312 - 248323 sont considérées par œil et ne peuvent pas être cumulées. Le nombre maximum de séances est d’application pour une période de six mois à compter de la première séance.</w:t>
      </w:r>
    </w:p>
    <w:p w14:paraId="005460FF" w14:textId="3CD0518E" w:rsidR="00F948EB" w:rsidRDefault="00F948EB" w:rsidP="00F948EB">
      <w:pPr>
        <w:ind w:left="720"/>
        <w:jc w:val="both"/>
        <w:rPr>
          <w:rFonts w:ascii="Calibri" w:eastAsia="Calibri" w:hAnsi="Calibri" w:cs="Times New Roman"/>
          <w:i/>
          <w:lang w:val="fr"/>
        </w:rPr>
      </w:pPr>
      <w:r>
        <w:rPr>
          <w:rFonts w:ascii="Calibri" w:eastAsia="Calibri" w:hAnsi="Calibri" w:cs="Times New Roman"/>
          <w:i/>
          <w:lang w:val="fr"/>
        </w:rPr>
        <w:t>La prolongation de 6 mois signifie dans</w:t>
      </w:r>
      <w:r w:rsidRPr="00F948EB">
        <w:rPr>
          <w:rFonts w:ascii="Calibri" w:eastAsia="Calibri" w:hAnsi="Calibri" w:cs="Times New Roman"/>
          <w:i/>
          <w:lang w:val="fr"/>
        </w:rPr>
        <w:t xml:space="preserve"> </w:t>
      </w:r>
      <w:r>
        <w:rPr>
          <w:rFonts w:ascii="Calibri" w:eastAsia="Calibri" w:hAnsi="Calibri" w:cs="Times New Roman"/>
          <w:i/>
          <w:lang w:val="fr"/>
        </w:rPr>
        <w:t>l</w:t>
      </w:r>
      <w:r w:rsidRPr="00F948EB">
        <w:rPr>
          <w:rFonts w:ascii="Calibri" w:eastAsia="Calibri" w:hAnsi="Calibri" w:cs="Times New Roman"/>
          <w:i/>
          <w:lang w:val="fr"/>
        </w:rPr>
        <w:t>e cas</w:t>
      </w:r>
      <w:r>
        <w:rPr>
          <w:rFonts w:ascii="Calibri" w:eastAsia="Calibri" w:hAnsi="Calibri" w:cs="Times New Roman"/>
          <w:i/>
          <w:lang w:val="fr"/>
        </w:rPr>
        <w:t xml:space="preserve"> des </w:t>
      </w:r>
      <w:r w:rsidRPr="00F948EB">
        <w:rPr>
          <w:rFonts w:ascii="Calibri" w:eastAsia="Calibri" w:hAnsi="Calibri" w:cs="Times New Roman"/>
          <w:i/>
          <w:lang w:val="fr"/>
        </w:rPr>
        <w:t xml:space="preserve">prestations 248172 - 248183, 248194 - 248205, 248216 - 248220, 248231 - 248242, 248253 - 248264, 248275 - 248286, 248290 - 248301 et 248312 - 248323, que les prestations non </w:t>
      </w:r>
      <w:r>
        <w:rPr>
          <w:rFonts w:ascii="Calibri" w:eastAsia="Calibri" w:hAnsi="Calibri" w:cs="Times New Roman"/>
          <w:i/>
          <w:lang w:val="fr"/>
        </w:rPr>
        <w:t>effectuées</w:t>
      </w:r>
      <w:r w:rsidRPr="00F948EB">
        <w:rPr>
          <w:rFonts w:ascii="Calibri" w:eastAsia="Calibri" w:hAnsi="Calibri" w:cs="Times New Roman"/>
          <w:i/>
          <w:lang w:val="fr"/>
        </w:rPr>
        <w:t xml:space="preserve"> </w:t>
      </w:r>
      <w:r>
        <w:rPr>
          <w:rFonts w:ascii="Calibri" w:eastAsia="Calibri" w:hAnsi="Calibri" w:cs="Times New Roman"/>
          <w:i/>
          <w:lang w:val="fr"/>
        </w:rPr>
        <w:t>d’</w:t>
      </w:r>
      <w:r w:rsidRPr="00F948EB">
        <w:rPr>
          <w:rFonts w:ascii="Calibri" w:eastAsia="Calibri" w:hAnsi="Calibri" w:cs="Times New Roman"/>
          <w:i/>
          <w:lang w:val="fr"/>
        </w:rPr>
        <w:t>une série de prestations</w:t>
      </w:r>
      <w:r w:rsidR="00187738">
        <w:rPr>
          <w:rFonts w:ascii="Calibri" w:eastAsia="Calibri" w:hAnsi="Calibri" w:cs="Times New Roman"/>
          <w:i/>
          <w:lang w:val="fr"/>
        </w:rPr>
        <w:t xml:space="preserve"> (</w:t>
      </w:r>
      <w:r>
        <w:rPr>
          <w:rFonts w:ascii="Calibri" w:eastAsia="Calibri" w:hAnsi="Calibri" w:cs="Times New Roman"/>
          <w:i/>
          <w:lang w:val="fr"/>
        </w:rPr>
        <w:t xml:space="preserve">dont </w:t>
      </w:r>
      <w:r w:rsidRPr="00F948EB">
        <w:rPr>
          <w:rFonts w:ascii="Calibri" w:eastAsia="Calibri" w:hAnsi="Calibri" w:cs="Times New Roman"/>
          <w:i/>
          <w:lang w:val="fr"/>
        </w:rPr>
        <w:t>au moins 1 jour tombe pendant la période du COVID-19</w:t>
      </w:r>
      <w:r w:rsidR="00187738">
        <w:rPr>
          <w:rFonts w:ascii="Calibri" w:eastAsia="Calibri" w:hAnsi="Calibri" w:cs="Times New Roman"/>
          <w:i/>
          <w:lang w:val="fr"/>
        </w:rPr>
        <w:t>)</w:t>
      </w:r>
      <w:r>
        <w:rPr>
          <w:rFonts w:ascii="Calibri" w:eastAsia="Calibri" w:hAnsi="Calibri" w:cs="Times New Roman"/>
          <w:i/>
          <w:lang w:val="fr"/>
        </w:rPr>
        <w:t xml:space="preserve"> en raison de force majeur suite à la crise COVID-19, </w:t>
      </w:r>
      <w:r w:rsidRPr="00F948EB">
        <w:rPr>
          <w:rFonts w:ascii="Calibri" w:eastAsia="Calibri" w:hAnsi="Calibri" w:cs="Times New Roman"/>
          <w:i/>
          <w:lang w:val="fr"/>
        </w:rPr>
        <w:t xml:space="preserve">peuvent également être </w:t>
      </w:r>
      <w:r>
        <w:rPr>
          <w:rFonts w:ascii="Calibri" w:eastAsia="Calibri" w:hAnsi="Calibri" w:cs="Times New Roman"/>
          <w:i/>
          <w:lang w:val="fr"/>
        </w:rPr>
        <w:t xml:space="preserve">effectuées et </w:t>
      </w:r>
      <w:r w:rsidRPr="00F948EB">
        <w:rPr>
          <w:rFonts w:ascii="Calibri" w:eastAsia="Calibri" w:hAnsi="Calibri" w:cs="Times New Roman"/>
          <w:i/>
          <w:lang w:val="fr"/>
        </w:rPr>
        <w:t>attestées au cours de la période de 6 mois suivante.</w:t>
      </w:r>
    </w:p>
    <w:p w14:paraId="78FD3781" w14:textId="77777777" w:rsidR="00F948EB" w:rsidRPr="00F948EB" w:rsidRDefault="00F948EB" w:rsidP="00F948EB">
      <w:pPr>
        <w:ind w:left="720"/>
        <w:jc w:val="both"/>
        <w:rPr>
          <w:rFonts w:ascii="Calibri" w:eastAsia="Calibri" w:hAnsi="Calibri" w:cs="Times New Roman"/>
          <w:i/>
          <w:lang w:val="fr"/>
        </w:rPr>
      </w:pPr>
    </w:p>
    <w:p w14:paraId="6A01C62F" w14:textId="77777777" w:rsidR="00E506F8" w:rsidRPr="00C21637" w:rsidRDefault="00E506F8" w:rsidP="00E506F8">
      <w:pPr>
        <w:jc w:val="both"/>
        <w:rPr>
          <w:rFonts w:ascii="Calibri" w:eastAsia="Calibri" w:hAnsi="Calibri" w:cs="Times New Roman"/>
          <w:b/>
          <w:lang w:val="fr-BE"/>
        </w:rPr>
      </w:pPr>
      <w:r w:rsidRPr="00310C6F">
        <w:rPr>
          <w:rFonts w:ascii="Calibri" w:eastAsia="Calibri" w:hAnsi="Calibri" w:cs="Times New Roman"/>
          <w:b/>
          <w:lang w:val="fr"/>
        </w:rPr>
        <w:t>Article 22</w:t>
      </w:r>
    </w:p>
    <w:p w14:paraId="611CFBBF" w14:textId="77777777" w:rsidR="007F78A6" w:rsidRPr="00C21637" w:rsidRDefault="00E506F8" w:rsidP="002B1A74">
      <w:pPr>
        <w:jc w:val="both"/>
        <w:rPr>
          <w:rFonts w:ascii="Calibri" w:eastAsia="Calibri" w:hAnsi="Calibri" w:cs="Times New Roman"/>
          <w:lang w:val="fr-BE"/>
        </w:rPr>
      </w:pPr>
      <w:r>
        <w:rPr>
          <w:rFonts w:ascii="Calibri" w:eastAsia="Calibri" w:hAnsi="Calibri" w:cs="Times New Roman"/>
          <w:lang w:val="fr"/>
        </w:rPr>
        <w:t>Les prestations 558994, 558095-558106, et 558132-558143.</w:t>
      </w:r>
    </w:p>
    <w:p w14:paraId="2FF2C633" w14:textId="77777777" w:rsidR="00310C6F" w:rsidRPr="00C21637" w:rsidRDefault="00310C6F" w:rsidP="002B1A74">
      <w:pPr>
        <w:jc w:val="both"/>
        <w:rPr>
          <w:rFonts w:ascii="Calibri" w:eastAsia="Calibri" w:hAnsi="Calibri" w:cs="Times New Roman"/>
          <w:b/>
          <w:lang w:val="fr-BE"/>
        </w:rPr>
      </w:pPr>
      <w:r w:rsidRPr="00310C6F">
        <w:rPr>
          <w:rFonts w:ascii="Calibri" w:eastAsia="Calibri" w:hAnsi="Calibri" w:cs="Times New Roman"/>
          <w:b/>
          <w:lang w:val="fr"/>
        </w:rPr>
        <w:t>Article 24bis</w:t>
      </w:r>
    </w:p>
    <w:p w14:paraId="0FAA5704" w14:textId="77777777" w:rsidR="00310C6F" w:rsidRPr="00C21637" w:rsidRDefault="00310C6F" w:rsidP="002B1A74">
      <w:pPr>
        <w:jc w:val="both"/>
        <w:rPr>
          <w:rFonts w:ascii="Calibri" w:eastAsia="Calibri" w:hAnsi="Calibri" w:cs="Times New Roman"/>
          <w:lang w:val="fr-BE"/>
        </w:rPr>
      </w:pPr>
      <w:r>
        <w:rPr>
          <w:rFonts w:ascii="Calibri" w:eastAsia="Calibri" w:hAnsi="Calibri" w:cs="Times New Roman"/>
          <w:lang w:val="fr"/>
        </w:rPr>
        <w:t>La prestation 556710-556721.</w:t>
      </w:r>
    </w:p>
    <w:p w14:paraId="14D8E8AE" w14:textId="77777777" w:rsidR="007D7EC5" w:rsidRPr="00F948EB" w:rsidRDefault="007D7EC5" w:rsidP="002B1A74">
      <w:pPr>
        <w:jc w:val="both"/>
        <w:rPr>
          <w:rFonts w:ascii="Calibri" w:eastAsia="Calibri" w:hAnsi="Calibri" w:cs="Times New Roman"/>
          <w:b/>
          <w:lang w:val="fr-BE"/>
        </w:rPr>
      </w:pPr>
      <w:r w:rsidRPr="00E01812">
        <w:rPr>
          <w:rFonts w:ascii="Calibri" w:eastAsia="Calibri" w:hAnsi="Calibri" w:cs="Times New Roman"/>
          <w:b/>
          <w:lang w:val="fr"/>
        </w:rPr>
        <w:t>Pour toutes les prestations suivantes pour lesquelles un délai de suivi est prévu, ce délai est suspendu à partir du 1</w:t>
      </w:r>
      <w:r w:rsidRPr="00E01812">
        <w:rPr>
          <w:rFonts w:ascii="Calibri" w:eastAsia="Calibri" w:hAnsi="Calibri" w:cs="Times New Roman"/>
          <w:b/>
          <w:vertAlign w:val="superscript"/>
          <w:lang w:val="fr"/>
        </w:rPr>
        <w:t>er</w:t>
      </w:r>
      <w:r w:rsidRPr="00E01812">
        <w:rPr>
          <w:rFonts w:ascii="Calibri" w:eastAsia="Calibri" w:hAnsi="Calibri" w:cs="Times New Roman"/>
          <w:b/>
          <w:lang w:val="fr"/>
        </w:rPr>
        <w:t> mars 2020 jusqu’à la fin de la période du COVID-19. En outre, ce délai est prolongé de 30 jours.</w:t>
      </w:r>
    </w:p>
    <w:p w14:paraId="606325D6" w14:textId="77777777" w:rsidR="00E01812" w:rsidRPr="00F948EB" w:rsidRDefault="00E01812" w:rsidP="002B1A74">
      <w:pPr>
        <w:jc w:val="both"/>
        <w:rPr>
          <w:rFonts w:ascii="Calibri" w:eastAsia="Calibri" w:hAnsi="Calibri" w:cs="Times New Roman"/>
          <w:b/>
          <w:lang w:val="fr-BE"/>
        </w:rPr>
      </w:pPr>
      <w:r>
        <w:rPr>
          <w:rFonts w:ascii="Calibri" w:eastAsia="Calibri" w:hAnsi="Calibri" w:cs="Times New Roman"/>
          <w:b/>
          <w:lang w:val="fr"/>
        </w:rPr>
        <w:t>Article 14 b</w:t>
      </w:r>
    </w:p>
    <w:p w14:paraId="56AF7FA6" w14:textId="77777777" w:rsidR="00E01812" w:rsidRPr="00C21637" w:rsidRDefault="00E01812" w:rsidP="002B1A74">
      <w:pPr>
        <w:jc w:val="both"/>
        <w:rPr>
          <w:rFonts w:ascii="Calibri" w:eastAsia="Calibri" w:hAnsi="Calibri" w:cs="Times New Roman"/>
          <w:lang w:val="fr-BE"/>
        </w:rPr>
      </w:pPr>
      <w:r w:rsidRPr="00E01812">
        <w:rPr>
          <w:rFonts w:ascii="Calibri" w:eastAsia="Calibri" w:hAnsi="Calibri" w:cs="Times New Roman"/>
          <w:lang w:val="fr"/>
        </w:rPr>
        <w:t xml:space="preserve">La prestation 232433-232444 est remboursable 2 fois par an au maximum. Cette limitation n’est pas d’application dans les trois mois qui suivent </w:t>
      </w:r>
      <w:r w:rsidR="008E4995">
        <w:rPr>
          <w:rFonts w:ascii="Calibri" w:eastAsia="Calibri" w:hAnsi="Calibri" w:cs="Times New Roman"/>
          <w:lang w:val="fr"/>
        </w:rPr>
        <w:t>l’implantation</w:t>
      </w:r>
      <w:r w:rsidRPr="00E01812">
        <w:rPr>
          <w:rFonts w:ascii="Calibri" w:eastAsia="Calibri" w:hAnsi="Calibri" w:cs="Times New Roman"/>
          <w:lang w:val="fr"/>
        </w:rPr>
        <w:t>, ni en cas d’urgence exceptionnelle documentée dans le dossier médical.</w:t>
      </w:r>
    </w:p>
    <w:p w14:paraId="25C0D547" w14:textId="77777777" w:rsidR="00E01812" w:rsidRPr="00C21637" w:rsidRDefault="00E01812" w:rsidP="002B1A74">
      <w:pPr>
        <w:jc w:val="both"/>
        <w:rPr>
          <w:rFonts w:ascii="Calibri" w:eastAsia="Calibri" w:hAnsi="Calibri" w:cs="Times New Roman"/>
          <w:b/>
          <w:lang w:val="fr-BE"/>
        </w:rPr>
      </w:pPr>
      <w:r w:rsidRPr="00E01812">
        <w:rPr>
          <w:rFonts w:ascii="Calibri" w:eastAsia="Calibri" w:hAnsi="Calibri" w:cs="Times New Roman"/>
          <w:b/>
          <w:lang w:val="fr"/>
        </w:rPr>
        <w:t>Article 14 l</w:t>
      </w:r>
    </w:p>
    <w:p w14:paraId="71C2D3B1" w14:textId="50CDEA8A" w:rsidR="00310C6F" w:rsidRDefault="00E01812" w:rsidP="002B1A74">
      <w:pPr>
        <w:jc w:val="both"/>
        <w:rPr>
          <w:rFonts w:ascii="Calibri" w:eastAsia="Calibri" w:hAnsi="Calibri" w:cs="Times New Roman"/>
          <w:lang w:val="fr"/>
        </w:rPr>
      </w:pPr>
      <w:r w:rsidRPr="00E01812">
        <w:rPr>
          <w:rFonts w:ascii="Calibri" w:eastAsia="Calibri" w:hAnsi="Calibri" w:cs="Times New Roman"/>
          <w:lang w:val="fr"/>
        </w:rPr>
        <w:t>La prestation 312491-312502 comprend la confection d’empreintes, la détermination du rapport d’occlusion, la confection de la plaque de surocclusion en résine synthétique dure, le placement, le polissage et des corrections quant à l’ajustement, ainsi que l’occlusion et l’articulation jusqu’à 30 jours après le placement.</w:t>
      </w:r>
    </w:p>
    <w:p w14:paraId="06AB9D9B" w14:textId="77777777" w:rsidR="00F948EB" w:rsidRPr="00C21637" w:rsidRDefault="00F948EB" w:rsidP="002B1A74">
      <w:pPr>
        <w:jc w:val="both"/>
        <w:rPr>
          <w:rFonts w:ascii="Calibri" w:eastAsia="Calibri" w:hAnsi="Calibri" w:cs="Times New Roman"/>
          <w:lang w:val="fr-BE"/>
        </w:rPr>
      </w:pPr>
    </w:p>
    <w:p w14:paraId="5A401167" w14:textId="77777777" w:rsidR="002B1A74" w:rsidRPr="00C21637" w:rsidRDefault="002B1A74" w:rsidP="002B1A74">
      <w:pPr>
        <w:jc w:val="both"/>
        <w:rPr>
          <w:rFonts w:ascii="Trebuchet MS" w:eastAsiaTheme="majorEastAsia" w:hAnsi="Trebuchet MS" w:cstheme="majorBidi"/>
          <w:color w:val="02819B"/>
          <w:sz w:val="25"/>
          <w:szCs w:val="25"/>
          <w:lang w:val="fr-BE"/>
        </w:rPr>
      </w:pPr>
      <w:r w:rsidRPr="00850232">
        <w:rPr>
          <w:rFonts w:ascii="Trebuchet MS" w:eastAsiaTheme="majorEastAsia" w:hAnsi="Trebuchet MS" w:cstheme="majorBidi"/>
          <w:color w:val="02819B"/>
          <w:sz w:val="25"/>
          <w:szCs w:val="25"/>
          <w:lang w:val="fr"/>
        </w:rPr>
        <w:lastRenderedPageBreak/>
        <w:t>Pendant quelle période les mesures sont-elles d’application ?</w:t>
      </w:r>
    </w:p>
    <w:p w14:paraId="66E89008" w14:textId="77777777" w:rsidR="002B1A74" w:rsidRPr="00C21637" w:rsidRDefault="002B1A74" w:rsidP="002B1A74">
      <w:pPr>
        <w:jc w:val="both"/>
        <w:rPr>
          <w:rFonts w:cstheme="minorHAnsi"/>
          <w:lang w:val="fr-BE"/>
        </w:rPr>
      </w:pPr>
      <w:r w:rsidRPr="00B760E8">
        <w:rPr>
          <w:rFonts w:cstheme="minorHAnsi"/>
          <w:lang w:val="fr"/>
        </w:rPr>
        <w:t>Les mesures exceptionnelles sont d’application à partir du 1</w:t>
      </w:r>
      <w:r w:rsidRPr="00B760E8">
        <w:rPr>
          <w:rFonts w:cstheme="minorHAnsi"/>
          <w:vertAlign w:val="superscript"/>
          <w:lang w:val="fr"/>
        </w:rPr>
        <w:t>er</w:t>
      </w:r>
      <w:r w:rsidRPr="00B760E8">
        <w:rPr>
          <w:rFonts w:cstheme="minorHAnsi"/>
          <w:lang w:val="fr"/>
        </w:rPr>
        <w:t xml:space="preserve"> mars 2020 et restent valables pendant la période liée à la </w:t>
      </w:r>
      <w:r w:rsidRPr="00477BA7">
        <w:rPr>
          <w:rFonts w:cstheme="minorHAnsi"/>
          <w:color w:val="000000" w:themeColor="text1"/>
          <w:lang w:val="fr"/>
        </w:rPr>
        <w:t>pandémie</w:t>
      </w:r>
      <w:r w:rsidRPr="00B760E8">
        <w:rPr>
          <w:rFonts w:cstheme="minorHAnsi"/>
          <w:lang w:val="fr"/>
        </w:rPr>
        <w:t xml:space="preserve"> de COVID-19.</w:t>
      </w:r>
    </w:p>
    <w:p w14:paraId="02EA672A" w14:textId="77777777" w:rsidR="002B1A74" w:rsidRPr="00850232" w:rsidRDefault="002B1A74" w:rsidP="002B1A74">
      <w:pPr>
        <w:jc w:val="both"/>
        <w:rPr>
          <w:rFonts w:ascii="Trebuchet MS" w:eastAsiaTheme="majorEastAsia" w:hAnsi="Trebuchet MS" w:cstheme="majorBidi"/>
          <w:color w:val="02819B"/>
          <w:sz w:val="25"/>
          <w:szCs w:val="25"/>
          <w:lang w:val="nl-BE"/>
        </w:rPr>
      </w:pPr>
      <w:r w:rsidRPr="00850232">
        <w:rPr>
          <w:rFonts w:ascii="Trebuchet MS" w:eastAsiaTheme="majorEastAsia" w:hAnsi="Trebuchet MS" w:cstheme="majorBidi"/>
          <w:color w:val="02819B"/>
          <w:sz w:val="25"/>
          <w:szCs w:val="25"/>
          <w:lang w:val="fr"/>
        </w:rPr>
        <w:t>Vous avez des questions ?</w:t>
      </w:r>
    </w:p>
    <w:p w14:paraId="75846B14" w14:textId="77777777" w:rsidR="002B1A74" w:rsidRPr="00C21637" w:rsidRDefault="002B1A74" w:rsidP="002B1A74">
      <w:pPr>
        <w:numPr>
          <w:ilvl w:val="0"/>
          <w:numId w:val="10"/>
        </w:numPr>
        <w:spacing w:after="0" w:line="240" w:lineRule="auto"/>
        <w:contextualSpacing/>
        <w:jc w:val="both"/>
        <w:rPr>
          <w:rFonts w:eastAsia="Times New Roman" w:cstheme="minorHAnsi"/>
          <w:color w:val="000000" w:themeColor="text1"/>
          <w:lang w:val="fr-BE"/>
        </w:rPr>
      </w:pPr>
      <w:r w:rsidRPr="00B760E8">
        <w:rPr>
          <w:rFonts w:eastAsia="Times New Roman" w:cstheme="minorHAnsi"/>
          <w:color w:val="000000" w:themeColor="text1"/>
          <w:lang w:val="fr"/>
        </w:rPr>
        <w:t xml:space="preserve">Les dispensateurs de soins de santé qui ont des questions sur les mesures prises par l’INAMI pendant la crise du COVID-19 peuvent les poser en envoyant un e-mail à </w:t>
      </w:r>
      <w:hyperlink r:id="rId11" w:history="1">
        <w:r w:rsidRPr="00850232">
          <w:rPr>
            <w:rStyle w:val="Hyperlink"/>
            <w:rFonts w:ascii="Trebuchet MS" w:hAnsi="Trebuchet MS"/>
            <w:color w:val="02819B"/>
            <w:lang w:val="fr"/>
          </w:rPr>
          <w:t>covid19@riziv-inami.fgov.be</w:t>
        </w:r>
      </w:hyperlink>
      <w:r w:rsidRPr="00B760E8">
        <w:rPr>
          <w:rFonts w:eastAsia="Times New Roman" w:cstheme="minorHAnsi"/>
          <w:color w:val="000000" w:themeColor="text1"/>
          <w:lang w:val="fr"/>
        </w:rPr>
        <w:t>.</w:t>
      </w:r>
    </w:p>
    <w:p w14:paraId="740CE0A4" w14:textId="77777777" w:rsidR="002B1A74" w:rsidRPr="00C21637" w:rsidRDefault="002B1A74" w:rsidP="002B1A74">
      <w:pPr>
        <w:numPr>
          <w:ilvl w:val="0"/>
          <w:numId w:val="10"/>
        </w:numPr>
        <w:spacing w:after="0" w:line="240" w:lineRule="auto"/>
        <w:ind w:left="714" w:hanging="357"/>
        <w:contextualSpacing/>
        <w:jc w:val="both"/>
        <w:rPr>
          <w:rFonts w:eastAsia="Times New Roman" w:cstheme="minorHAnsi"/>
          <w:color w:val="000000" w:themeColor="text1"/>
          <w:lang w:val="fr-BE"/>
        </w:rPr>
      </w:pPr>
      <w:r w:rsidRPr="00B760E8">
        <w:rPr>
          <w:rFonts w:eastAsia="Times New Roman" w:cstheme="minorHAnsi"/>
          <w:color w:val="000000" w:themeColor="text1"/>
          <w:lang w:val="fr"/>
        </w:rPr>
        <w:t xml:space="preserve">Pour toute autre information liée à la crise du COVID-19, consultez </w:t>
      </w:r>
      <w:hyperlink r:id="rId12" w:history="1">
        <w:r w:rsidRPr="00850232">
          <w:rPr>
            <w:rStyle w:val="Hyperlink"/>
            <w:rFonts w:ascii="Trebuchet MS" w:hAnsi="Trebuchet MS"/>
            <w:color w:val="02819B"/>
            <w:lang w:val="fr"/>
          </w:rPr>
          <w:t>www.info-coronavirus.be/</w:t>
        </w:r>
      </w:hyperlink>
      <w:r w:rsidRPr="00B760E8">
        <w:rPr>
          <w:rFonts w:eastAsia="Times New Roman" w:cstheme="minorHAnsi"/>
          <w:color w:val="000000" w:themeColor="text1"/>
          <w:lang w:val="fr"/>
        </w:rPr>
        <w:t>ou téléphonez au 0800 14 689 entre 8 et 20 heures.</w:t>
      </w:r>
    </w:p>
    <w:p w14:paraId="2D12E698" w14:textId="77777777" w:rsidR="002B1A74" w:rsidRPr="00C21637" w:rsidRDefault="002B1A74" w:rsidP="002B1A74">
      <w:pPr>
        <w:shd w:val="clear" w:color="auto" w:fill="FFFFFF"/>
        <w:spacing w:line="360" w:lineRule="atLeast"/>
        <w:jc w:val="both"/>
        <w:rPr>
          <w:rFonts w:ascii="Trebuchet MS" w:hAnsi="Trebuchet MS"/>
          <w:color w:val="2D3235"/>
          <w:sz w:val="20"/>
          <w:szCs w:val="20"/>
          <w:lang w:val="fr-BE"/>
        </w:rPr>
      </w:pPr>
      <w:r w:rsidRPr="007A3968">
        <w:rPr>
          <w:rFonts w:ascii="Trebuchet MS" w:hAnsi="Trebuchet MS"/>
          <w:color w:val="2D3235"/>
          <w:sz w:val="20"/>
          <w:szCs w:val="20"/>
          <w:lang w:val="fr"/>
        </w:rPr>
        <w:t> </w:t>
      </w:r>
    </w:p>
    <w:p w14:paraId="4925282A" w14:textId="77777777" w:rsidR="000E7DC8" w:rsidRPr="00C21637" w:rsidRDefault="000E7DC8">
      <w:pPr>
        <w:rPr>
          <w:sz w:val="20"/>
          <w:lang w:val="fr-BE"/>
        </w:rPr>
      </w:pPr>
    </w:p>
    <w:sectPr w:rsidR="000E7DC8" w:rsidRPr="00C21637" w:rsidSect="00DD6EF2">
      <w:footerReference w:type="default" r:id="rId13"/>
      <w:headerReference w:type="first" r:id="rId14"/>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4C4F0" w14:textId="77777777" w:rsidR="00300FCA" w:rsidRDefault="00300FCA" w:rsidP="00BB5D07">
      <w:r>
        <w:separator/>
      </w:r>
    </w:p>
  </w:endnote>
  <w:endnote w:type="continuationSeparator" w:id="0">
    <w:p w14:paraId="0B764446" w14:textId="77777777" w:rsidR="00300FCA" w:rsidRDefault="00300FCA" w:rsidP="00BB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51D15" w14:textId="27EA97A3" w:rsidR="00BB5D07" w:rsidRPr="00BB5D07" w:rsidRDefault="0036348C" w:rsidP="00BB5D07">
    <w:pPr>
      <w:pStyle w:val="Voettekst"/>
      <w:jc w:val="right"/>
      <w:rPr>
        <w:sz w:val="12"/>
      </w:rPr>
    </w:pPr>
    <w:r>
      <w:rPr>
        <w:sz w:val="12"/>
      </w:rPr>
      <w:fldChar w:fldCharType="begin"/>
    </w:r>
    <w:r w:rsidR="00BB5D07">
      <w:rPr>
        <w:sz w:val="12"/>
      </w:rPr>
      <w:instrText xml:space="preserve"> PAGE  \* MERGEFORMAT </w:instrText>
    </w:r>
    <w:r>
      <w:rPr>
        <w:sz w:val="12"/>
      </w:rPr>
      <w:fldChar w:fldCharType="separate"/>
    </w:r>
    <w:r w:rsidR="00DB1C61">
      <w:rPr>
        <w:noProof/>
        <w:sz w:val="12"/>
      </w:rPr>
      <w:t>3</w:t>
    </w:r>
    <w:r>
      <w:rPr>
        <w:sz w:val="12"/>
      </w:rPr>
      <w:fldChar w:fldCharType="end"/>
    </w:r>
    <w:r w:rsidR="00BB5D07">
      <w:rPr>
        <w:sz w:val="12"/>
      </w:rPr>
      <w:t xml:space="preserve"> / </w:t>
    </w:r>
    <w:fldSimple w:instr=" NUMPAGES  \* MERGEFORMAT ">
      <w:r w:rsidR="00DB1C61" w:rsidRPr="00DB1C61">
        <w:rPr>
          <w:noProof/>
          <w:sz w:val="12"/>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94FBA" w14:textId="77777777" w:rsidR="00300FCA" w:rsidRDefault="00300FCA" w:rsidP="00BB5D07">
      <w:r>
        <w:separator/>
      </w:r>
    </w:p>
  </w:footnote>
  <w:footnote w:type="continuationSeparator" w:id="0">
    <w:p w14:paraId="58A9AD0D" w14:textId="77777777" w:rsidR="00300FCA" w:rsidRDefault="00300FCA" w:rsidP="00BB5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1928C" w14:textId="77777777" w:rsidR="00DD6EF2" w:rsidRPr="00DD6EF2" w:rsidRDefault="00DD6EF2" w:rsidP="00DD6EF2">
    <w:pPr>
      <w:rPr>
        <w:b/>
        <w:lang w:val="fr-BE"/>
      </w:rPr>
    </w:pPr>
    <w:r w:rsidRPr="005937B6">
      <w:rPr>
        <w:b/>
        <w:lang w:val="fr-BE"/>
      </w:rPr>
      <w:t xml:space="preserve">Annexe </w:t>
    </w:r>
    <w:r>
      <w:rPr>
        <w:b/>
        <w:lang w:val="fr-BE"/>
      </w:rPr>
      <w:t>6</w:t>
    </w:r>
    <w:r w:rsidRPr="005937B6">
      <w:rPr>
        <w:b/>
        <w:lang w:val="fr-BE"/>
      </w:rPr>
      <w:t xml:space="preserve">. </w:t>
    </w:r>
    <w:r>
      <w:rPr>
        <w:b/>
        <w:lang w:val="fr-BE"/>
      </w:rPr>
      <w:t>Médecins spécialistes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A06"/>
    <w:multiLevelType w:val="multilevel"/>
    <w:tmpl w:val="37506BD6"/>
    <w:lvl w:ilvl="0">
      <w:start w:val="1"/>
      <w:numFmt w:val="decimal"/>
      <w:lvlText w:val="%1"/>
      <w:lvlJc w:val="left"/>
      <w:pPr>
        <w:tabs>
          <w:tab w:val="num" w:pos="432"/>
        </w:tabs>
        <w:ind w:left="432" w:hanging="432"/>
      </w:pPr>
      <w:rPr>
        <w:rFonts w:ascii="Arial" w:hAnsi="Arial" w:hint="default"/>
        <w:b/>
        <w:i w:val="0"/>
        <w:sz w:val="28"/>
        <w:u w:val="single"/>
      </w:rPr>
    </w:lvl>
    <w:lvl w:ilvl="1">
      <w:start w:val="1"/>
      <w:numFmt w:val="decimal"/>
      <w:lvlText w:val="%1.%2"/>
      <w:lvlJc w:val="left"/>
      <w:pPr>
        <w:tabs>
          <w:tab w:val="num" w:pos="576"/>
        </w:tabs>
        <w:ind w:left="576" w:hanging="576"/>
      </w:pPr>
      <w:rPr>
        <w:rFonts w:ascii="Arial" w:hAnsi="Arial" w:hint="default"/>
        <w:b/>
        <w:i w:val="0"/>
        <w:sz w:val="22"/>
        <w:u w:val="single"/>
      </w:rPr>
    </w:lvl>
    <w:lvl w:ilvl="2">
      <w:start w:val="1"/>
      <w:numFmt w:val="decimal"/>
      <w:lvlText w:val="%1.%2.%3"/>
      <w:lvlJc w:val="left"/>
      <w:pPr>
        <w:tabs>
          <w:tab w:val="num" w:pos="720"/>
        </w:tabs>
        <w:ind w:left="720" w:hanging="720"/>
      </w:pPr>
      <w:rPr>
        <w:rFonts w:ascii="Arial" w:hAnsi="Arial" w:hint="default"/>
        <w:b/>
        <w:i w:val="0"/>
        <w:sz w:val="22"/>
        <w:u w:val="none"/>
      </w:rPr>
    </w:lvl>
    <w:lvl w:ilvl="3">
      <w:start w:val="1"/>
      <w:numFmt w:val="decimal"/>
      <w:lvlText w:val="%1.%2.%3.%4"/>
      <w:lvlJc w:val="left"/>
      <w:pPr>
        <w:tabs>
          <w:tab w:val="num" w:pos="864"/>
        </w:tabs>
        <w:ind w:left="864" w:hanging="864"/>
      </w:pPr>
      <w:rPr>
        <w:rFonts w:ascii="Arial" w:hAnsi="Arial" w:hint="default"/>
        <w:b w:val="0"/>
        <w:i/>
        <w:u w:val="single"/>
      </w:rPr>
    </w:lvl>
    <w:lvl w:ilvl="4">
      <w:start w:val="1"/>
      <w:numFmt w:val="decimal"/>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 w15:restartNumberingAfterBreak="0">
    <w:nsid w:val="258B6DDA"/>
    <w:multiLevelType w:val="hybridMultilevel"/>
    <w:tmpl w:val="1902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01C5C"/>
    <w:multiLevelType w:val="multilevel"/>
    <w:tmpl w:val="F716A96A"/>
    <w:lvl w:ilvl="0">
      <w:start w:val="1"/>
      <w:numFmt w:val="decimal"/>
      <w:pStyle w:val="Kop1"/>
      <w:lvlText w:val="%1."/>
      <w:lvlJc w:val="left"/>
      <w:pPr>
        <w:tabs>
          <w:tab w:val="num" w:pos="360"/>
        </w:tabs>
        <w:ind w:left="0" w:firstLine="0"/>
      </w:pPr>
    </w:lvl>
    <w:lvl w:ilvl="1">
      <w:start w:val="1"/>
      <w:numFmt w:val="decimal"/>
      <w:pStyle w:val="Kop2"/>
      <w:lvlText w:val="%1.%2."/>
      <w:lvlJc w:val="left"/>
      <w:pPr>
        <w:tabs>
          <w:tab w:val="num" w:pos="720"/>
        </w:tabs>
        <w:ind w:left="0" w:firstLine="0"/>
      </w:pPr>
    </w:lvl>
    <w:lvl w:ilvl="2">
      <w:start w:val="1"/>
      <w:numFmt w:val="decimal"/>
      <w:pStyle w:val="Kop3"/>
      <w:lvlText w:val="%1.%2.%3."/>
      <w:lvlJc w:val="left"/>
      <w:pPr>
        <w:tabs>
          <w:tab w:val="num" w:pos="720"/>
        </w:tabs>
        <w:ind w:left="0" w:firstLine="0"/>
      </w:pPr>
    </w:lvl>
    <w:lvl w:ilvl="3">
      <w:start w:val="1"/>
      <w:numFmt w:val="decimal"/>
      <w:pStyle w:val="Kop4"/>
      <w:lvlText w:val="%1.%2.%3.%4."/>
      <w:lvlJc w:val="left"/>
      <w:pPr>
        <w:tabs>
          <w:tab w:val="num" w:pos="1080"/>
        </w:tabs>
        <w:ind w:left="0" w:firstLine="0"/>
      </w:pPr>
    </w:lvl>
    <w:lvl w:ilvl="4">
      <w:start w:val="1"/>
      <w:numFmt w:val="decimal"/>
      <w:pStyle w:val="Kop5"/>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160"/>
        </w:tabs>
        <w:ind w:left="0" w:firstLine="0"/>
      </w:pPr>
    </w:lvl>
  </w:abstractNum>
  <w:num w:numId="1">
    <w:abstractNumId w:val="2"/>
  </w:num>
  <w:num w:numId="2">
    <w:abstractNumId w:val="2"/>
  </w:num>
  <w:num w:numId="3">
    <w:abstractNumId w:val="2"/>
  </w:num>
  <w:num w:numId="4">
    <w:abstractNumId w:val="2"/>
  </w:num>
  <w:num w:numId="5">
    <w:abstractNumId w:val="2"/>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76"/>
    <w:rsid w:val="000E7DC8"/>
    <w:rsid w:val="000F0FC4"/>
    <w:rsid w:val="001176B8"/>
    <w:rsid w:val="00187738"/>
    <w:rsid w:val="001938C7"/>
    <w:rsid w:val="001B74A4"/>
    <w:rsid w:val="001C51F3"/>
    <w:rsid w:val="001E5941"/>
    <w:rsid w:val="00211FC5"/>
    <w:rsid w:val="002304CF"/>
    <w:rsid w:val="002B1A74"/>
    <w:rsid w:val="00300FCA"/>
    <w:rsid w:val="00310C6F"/>
    <w:rsid w:val="0036348C"/>
    <w:rsid w:val="003A6E4B"/>
    <w:rsid w:val="00416045"/>
    <w:rsid w:val="00556042"/>
    <w:rsid w:val="005C2CDB"/>
    <w:rsid w:val="0068273B"/>
    <w:rsid w:val="0078462B"/>
    <w:rsid w:val="0079428E"/>
    <w:rsid w:val="007D7EC5"/>
    <w:rsid w:val="007F78A6"/>
    <w:rsid w:val="00824EFA"/>
    <w:rsid w:val="008C0640"/>
    <w:rsid w:val="008E4995"/>
    <w:rsid w:val="009177C8"/>
    <w:rsid w:val="00927EAC"/>
    <w:rsid w:val="00956A1F"/>
    <w:rsid w:val="00BB2D73"/>
    <w:rsid w:val="00BB5D07"/>
    <w:rsid w:val="00C21637"/>
    <w:rsid w:val="00C740F4"/>
    <w:rsid w:val="00CD6F01"/>
    <w:rsid w:val="00DA352B"/>
    <w:rsid w:val="00DB1C61"/>
    <w:rsid w:val="00DD6EF2"/>
    <w:rsid w:val="00E01812"/>
    <w:rsid w:val="00E506F8"/>
    <w:rsid w:val="00E73476"/>
    <w:rsid w:val="00E96DCB"/>
    <w:rsid w:val="00ED79ED"/>
    <w:rsid w:val="00EE1407"/>
    <w:rsid w:val="00EE2124"/>
    <w:rsid w:val="00EF7EE4"/>
    <w:rsid w:val="00F54EF5"/>
    <w:rsid w:val="00F948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BE591"/>
  <w15:chartTrackingRefBased/>
  <w15:docId w15:val="{4EA0902A-7855-4A0B-B079-07A629F3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3476"/>
    <w:pPr>
      <w:spacing w:after="200" w:line="276" w:lineRule="auto"/>
    </w:pPr>
    <w:rPr>
      <w:rFonts w:asciiTheme="minorHAnsi" w:eastAsiaTheme="minorHAnsi" w:hAnsiTheme="minorHAnsi" w:cstheme="minorBidi"/>
      <w:sz w:val="22"/>
      <w:szCs w:val="22"/>
      <w:lang w:val="en-US" w:eastAsia="en-US"/>
    </w:rPr>
  </w:style>
  <w:style w:type="paragraph" w:styleId="Kop1">
    <w:name w:val="heading 1"/>
    <w:basedOn w:val="Standaard"/>
    <w:next w:val="Plattetekst"/>
    <w:qFormat/>
    <w:rsid w:val="009177C8"/>
    <w:pPr>
      <w:keepNext/>
      <w:numPr>
        <w:numId w:val="1"/>
      </w:numPr>
      <w:tabs>
        <w:tab w:val="left" w:pos="567"/>
      </w:tabs>
      <w:spacing w:before="240" w:after="60"/>
      <w:outlineLvl w:val="0"/>
    </w:pPr>
    <w:rPr>
      <w:b/>
      <w:kern w:val="26"/>
      <w:sz w:val="26"/>
      <w:u w:val="single"/>
    </w:rPr>
  </w:style>
  <w:style w:type="paragraph" w:styleId="Kop2">
    <w:name w:val="heading 2"/>
    <w:basedOn w:val="Standaard"/>
    <w:next w:val="Standaard"/>
    <w:qFormat/>
    <w:rsid w:val="009177C8"/>
    <w:pPr>
      <w:keepNext/>
      <w:numPr>
        <w:ilvl w:val="1"/>
        <w:numId w:val="2"/>
      </w:numPr>
      <w:tabs>
        <w:tab w:val="clear" w:pos="720"/>
        <w:tab w:val="left" w:pos="709"/>
      </w:tabs>
      <w:spacing w:before="240" w:after="60"/>
      <w:jc w:val="both"/>
      <w:outlineLvl w:val="1"/>
    </w:pPr>
    <w:rPr>
      <w:b/>
      <w:kern w:val="22"/>
      <w:u w:val="single"/>
    </w:rPr>
  </w:style>
  <w:style w:type="paragraph" w:styleId="Kop3">
    <w:name w:val="heading 3"/>
    <w:basedOn w:val="Standaard"/>
    <w:next w:val="Standaard"/>
    <w:qFormat/>
    <w:rsid w:val="009177C8"/>
    <w:pPr>
      <w:keepNext/>
      <w:numPr>
        <w:ilvl w:val="2"/>
        <w:numId w:val="3"/>
      </w:numPr>
      <w:tabs>
        <w:tab w:val="clear" w:pos="720"/>
        <w:tab w:val="left" w:pos="936"/>
      </w:tabs>
      <w:spacing w:before="240" w:after="60"/>
      <w:jc w:val="both"/>
      <w:outlineLvl w:val="2"/>
    </w:pPr>
    <w:rPr>
      <w:b/>
      <w:kern w:val="22"/>
    </w:rPr>
  </w:style>
  <w:style w:type="paragraph" w:styleId="Kop4">
    <w:name w:val="heading 4"/>
    <w:basedOn w:val="Standaard"/>
    <w:next w:val="Standaard"/>
    <w:qFormat/>
    <w:rsid w:val="009177C8"/>
    <w:pPr>
      <w:keepNext/>
      <w:numPr>
        <w:ilvl w:val="3"/>
        <w:numId w:val="4"/>
      </w:numPr>
      <w:tabs>
        <w:tab w:val="clear" w:pos="1080"/>
        <w:tab w:val="left" w:pos="1134"/>
      </w:tabs>
      <w:spacing w:before="240" w:after="60"/>
      <w:jc w:val="both"/>
      <w:outlineLvl w:val="3"/>
    </w:pPr>
    <w:rPr>
      <w:kern w:val="22"/>
      <w:u w:val="single"/>
    </w:rPr>
  </w:style>
  <w:style w:type="paragraph" w:styleId="Kop5">
    <w:name w:val="heading 5"/>
    <w:basedOn w:val="Standaard"/>
    <w:next w:val="Standaard"/>
    <w:qFormat/>
    <w:rsid w:val="009177C8"/>
    <w:pPr>
      <w:numPr>
        <w:ilvl w:val="4"/>
        <w:numId w:val="5"/>
      </w:numPr>
      <w:tabs>
        <w:tab w:val="clear" w:pos="1440"/>
        <w:tab w:val="left" w:pos="1276"/>
      </w:tabs>
      <w:spacing w:before="240" w:after="60"/>
      <w:jc w:val="both"/>
      <w:outlineLvl w:val="4"/>
    </w:pPr>
    <w:rPr>
      <w:kern w:val="22"/>
      <w:u w:val="words"/>
    </w:rPr>
  </w:style>
  <w:style w:type="paragraph" w:styleId="Kop6">
    <w:name w:val="heading 6"/>
    <w:basedOn w:val="Standaard"/>
    <w:next w:val="Standaard"/>
    <w:qFormat/>
    <w:rsid w:val="009177C8"/>
    <w:pPr>
      <w:numPr>
        <w:ilvl w:val="5"/>
        <w:numId w:val="6"/>
      </w:numPr>
      <w:spacing w:before="240" w:after="60"/>
      <w:outlineLvl w:val="5"/>
    </w:pPr>
    <w:rPr>
      <w:rFonts w:ascii="Times New Roman" w:hAnsi="Times New Roman"/>
      <w:i/>
      <w:lang w:val="fr-FR"/>
    </w:rPr>
  </w:style>
  <w:style w:type="paragraph" w:styleId="Kop7">
    <w:name w:val="heading 7"/>
    <w:basedOn w:val="Standaard"/>
    <w:next w:val="Standaard"/>
    <w:qFormat/>
    <w:rsid w:val="009177C8"/>
    <w:pPr>
      <w:numPr>
        <w:ilvl w:val="6"/>
        <w:numId w:val="7"/>
      </w:numPr>
      <w:spacing w:before="240" w:after="60"/>
      <w:outlineLvl w:val="6"/>
    </w:pPr>
    <w:rPr>
      <w:sz w:val="20"/>
      <w:lang w:val="fr-FR"/>
    </w:rPr>
  </w:style>
  <w:style w:type="paragraph" w:styleId="Kop8">
    <w:name w:val="heading 8"/>
    <w:basedOn w:val="Standaard"/>
    <w:next w:val="Standaard"/>
    <w:qFormat/>
    <w:rsid w:val="009177C8"/>
    <w:pPr>
      <w:numPr>
        <w:ilvl w:val="7"/>
        <w:numId w:val="8"/>
      </w:numPr>
      <w:spacing w:before="240" w:after="60"/>
      <w:outlineLvl w:val="7"/>
    </w:pPr>
    <w:rPr>
      <w:i/>
      <w:sz w:val="20"/>
      <w:lang w:val="fr-FR"/>
    </w:rPr>
  </w:style>
  <w:style w:type="paragraph" w:styleId="Kop9">
    <w:name w:val="heading 9"/>
    <w:basedOn w:val="Standaard"/>
    <w:next w:val="Standaard"/>
    <w:qFormat/>
    <w:rsid w:val="009177C8"/>
    <w:pPr>
      <w:numPr>
        <w:ilvl w:val="8"/>
        <w:numId w:val="9"/>
      </w:numPr>
      <w:spacing w:before="240" w:after="60"/>
      <w:outlineLvl w:val="8"/>
    </w:pPr>
    <w:rPr>
      <w:b/>
      <w:i/>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177C8"/>
    <w:pPr>
      <w:spacing w:after="120"/>
    </w:pPr>
  </w:style>
  <w:style w:type="paragraph" w:customStyle="1" w:styleId="Adresse">
    <w:name w:val="Adresse"/>
    <w:next w:val="Standaard"/>
    <w:rsid w:val="009177C8"/>
    <w:pPr>
      <w:framePr w:w="5954" w:h="2041" w:hRule="exact" w:hSpace="181" w:vSpace="181" w:wrap="notBeside" w:vAnchor="page" w:hAnchor="page" w:x="5388" w:y="2099"/>
      <w:widowControl w:val="0"/>
      <w:spacing w:line="240" w:lineRule="exact"/>
      <w:ind w:left="1701"/>
    </w:pPr>
    <w:rPr>
      <w:rFonts w:ascii="Arial" w:hAnsi="Arial"/>
      <w:lang w:eastAsia="en-US"/>
    </w:rPr>
  </w:style>
  <w:style w:type="paragraph" w:customStyle="1" w:styleId="Basdepage">
    <w:name w:val="Bas de page"/>
    <w:basedOn w:val="Standaard"/>
    <w:rsid w:val="009177C8"/>
    <w:pPr>
      <w:widowControl w:val="0"/>
      <w:tabs>
        <w:tab w:val="left" w:pos="3742"/>
      </w:tabs>
      <w:spacing w:line="220" w:lineRule="exact"/>
      <w:ind w:left="284"/>
    </w:pPr>
    <w:rPr>
      <w:sz w:val="16"/>
    </w:rPr>
  </w:style>
  <w:style w:type="paragraph" w:styleId="Citaat">
    <w:name w:val="Quote"/>
    <w:basedOn w:val="Standaard"/>
    <w:qFormat/>
    <w:rsid w:val="009177C8"/>
    <w:pPr>
      <w:ind w:left="567" w:right="567"/>
      <w:jc w:val="both"/>
    </w:pPr>
    <w:rPr>
      <w:i/>
    </w:rPr>
  </w:style>
  <w:style w:type="paragraph" w:customStyle="1" w:styleId="Concerne">
    <w:name w:val="Concerne"/>
    <w:basedOn w:val="Standaard"/>
    <w:rsid w:val="009177C8"/>
    <w:pPr>
      <w:spacing w:before="240"/>
    </w:pPr>
    <w:rPr>
      <w:b/>
    </w:rPr>
  </w:style>
  <w:style w:type="paragraph" w:customStyle="1" w:styleId="Coordonnes">
    <w:name w:val="Coordonnées"/>
    <w:basedOn w:val="Standaard"/>
    <w:rsid w:val="009177C8"/>
    <w:pPr>
      <w:tabs>
        <w:tab w:val="left" w:pos="3402"/>
      </w:tabs>
      <w:spacing w:after="120"/>
    </w:pPr>
    <w:rPr>
      <w:lang w:val="nl-BE"/>
    </w:rPr>
  </w:style>
  <w:style w:type="paragraph" w:styleId="Voettekst">
    <w:name w:val="footer"/>
    <w:basedOn w:val="Standaard"/>
    <w:rsid w:val="009177C8"/>
    <w:pPr>
      <w:tabs>
        <w:tab w:val="center" w:pos="4153"/>
        <w:tab w:val="right" w:pos="8306"/>
      </w:tabs>
    </w:pPr>
    <w:rPr>
      <w:lang w:val="fr-FR"/>
    </w:rPr>
  </w:style>
  <w:style w:type="paragraph" w:styleId="Koptekst">
    <w:name w:val="header"/>
    <w:basedOn w:val="Standaard"/>
    <w:rsid w:val="009177C8"/>
    <w:pPr>
      <w:tabs>
        <w:tab w:val="center" w:pos="4153"/>
        <w:tab w:val="right" w:pos="8306"/>
      </w:tabs>
    </w:pPr>
    <w:rPr>
      <w:lang w:val="fr-FR"/>
    </w:rPr>
  </w:style>
  <w:style w:type="character" w:styleId="Paginanummer">
    <w:name w:val="page number"/>
    <w:basedOn w:val="Standaardalinea-lettertype"/>
    <w:rsid w:val="009177C8"/>
  </w:style>
  <w:style w:type="paragraph" w:customStyle="1" w:styleId="Pices">
    <w:name w:val="Pièces"/>
    <w:basedOn w:val="Standaard"/>
    <w:rsid w:val="009177C8"/>
    <w:pPr>
      <w:jc w:val="both"/>
    </w:pPr>
    <w:rPr>
      <w:sz w:val="16"/>
    </w:rPr>
  </w:style>
  <w:style w:type="paragraph" w:customStyle="1" w:styleId="Service">
    <w:name w:val="Service"/>
    <w:basedOn w:val="Standaard"/>
    <w:next w:val="Standaard"/>
    <w:rsid w:val="009177C8"/>
    <w:pPr>
      <w:spacing w:before="120" w:after="120"/>
    </w:pPr>
    <w:rPr>
      <w:b/>
      <w:noProof/>
      <w:spacing w:val="20"/>
      <w:sz w:val="18"/>
    </w:rPr>
  </w:style>
  <w:style w:type="paragraph" w:customStyle="1" w:styleId="Rfrences">
    <w:name w:val="Références"/>
    <w:basedOn w:val="Service"/>
    <w:next w:val="Standaard"/>
    <w:rsid w:val="009177C8"/>
    <w:pPr>
      <w:tabs>
        <w:tab w:val="left" w:pos="4309"/>
      </w:tabs>
      <w:spacing w:before="0" w:after="0"/>
      <w:ind w:left="113"/>
    </w:pPr>
    <w:rPr>
      <w:sz w:val="16"/>
    </w:rPr>
  </w:style>
  <w:style w:type="paragraph" w:customStyle="1" w:styleId="Signataire">
    <w:name w:val="Signataire"/>
    <w:basedOn w:val="Standaard"/>
    <w:next w:val="Standaard"/>
    <w:rsid w:val="009177C8"/>
    <w:pPr>
      <w:ind w:left="5364"/>
    </w:pPr>
  </w:style>
  <w:style w:type="paragraph" w:customStyle="1" w:styleId="Vedette">
    <w:name w:val="Vedette"/>
    <w:basedOn w:val="Standaard"/>
    <w:rsid w:val="009177C8"/>
    <w:pPr>
      <w:spacing w:before="240" w:after="240"/>
    </w:pPr>
  </w:style>
  <w:style w:type="character" w:styleId="Hyperlink">
    <w:name w:val="Hyperlink"/>
    <w:basedOn w:val="Standaardalinea-lettertype"/>
    <w:uiPriority w:val="99"/>
    <w:unhideWhenUsed/>
    <w:rsid w:val="002B1A74"/>
    <w:rPr>
      <w:color w:val="0000FF"/>
      <w:u w:val="single"/>
    </w:rPr>
  </w:style>
  <w:style w:type="paragraph" w:styleId="Ballontekst">
    <w:name w:val="Balloon Text"/>
    <w:basedOn w:val="Standaard"/>
    <w:link w:val="BallontekstChar"/>
    <w:semiHidden/>
    <w:unhideWhenUsed/>
    <w:rsid w:val="008E49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8E4995"/>
    <w:rPr>
      <w:rFonts w:ascii="Segoe UI" w:eastAsiaTheme="minorHAnsi" w:hAnsi="Segoe UI" w:cs="Segoe UI"/>
      <w:sz w:val="18"/>
      <w:szCs w:val="18"/>
      <w:lang w:val="en-US" w:eastAsia="en-US"/>
    </w:rPr>
  </w:style>
  <w:style w:type="character" w:styleId="Verwijzingopmerking">
    <w:name w:val="annotation reference"/>
    <w:basedOn w:val="Standaardalinea-lettertype"/>
    <w:semiHidden/>
    <w:unhideWhenUsed/>
    <w:rsid w:val="005C2CDB"/>
    <w:rPr>
      <w:sz w:val="16"/>
      <w:szCs w:val="16"/>
    </w:rPr>
  </w:style>
  <w:style w:type="paragraph" w:styleId="Tekstopmerking">
    <w:name w:val="annotation text"/>
    <w:basedOn w:val="Standaard"/>
    <w:link w:val="TekstopmerkingChar"/>
    <w:semiHidden/>
    <w:unhideWhenUsed/>
    <w:rsid w:val="005C2CDB"/>
    <w:pPr>
      <w:spacing w:line="240" w:lineRule="auto"/>
    </w:pPr>
    <w:rPr>
      <w:sz w:val="20"/>
      <w:szCs w:val="20"/>
    </w:rPr>
  </w:style>
  <w:style w:type="character" w:customStyle="1" w:styleId="TekstopmerkingChar">
    <w:name w:val="Tekst opmerking Char"/>
    <w:basedOn w:val="Standaardalinea-lettertype"/>
    <w:link w:val="Tekstopmerking"/>
    <w:semiHidden/>
    <w:rsid w:val="005C2CDB"/>
    <w:rPr>
      <w:rFonts w:asciiTheme="minorHAnsi" w:eastAsiaTheme="minorHAnsi" w:hAnsiTheme="minorHAnsi" w:cstheme="minorBidi"/>
      <w:lang w:val="en-US" w:eastAsia="en-US"/>
    </w:rPr>
  </w:style>
  <w:style w:type="paragraph" w:styleId="Onderwerpvanopmerking">
    <w:name w:val="annotation subject"/>
    <w:basedOn w:val="Tekstopmerking"/>
    <w:next w:val="Tekstopmerking"/>
    <w:link w:val="OnderwerpvanopmerkingChar"/>
    <w:semiHidden/>
    <w:unhideWhenUsed/>
    <w:rsid w:val="005C2CDB"/>
    <w:rPr>
      <w:b/>
      <w:bCs/>
    </w:rPr>
  </w:style>
  <w:style w:type="character" w:customStyle="1" w:styleId="OnderwerpvanopmerkingChar">
    <w:name w:val="Onderwerp van opmerking Char"/>
    <w:basedOn w:val="TekstopmerkingChar"/>
    <w:link w:val="Onderwerpvanopmerking"/>
    <w:semiHidden/>
    <w:rsid w:val="005C2CDB"/>
    <w:rPr>
      <w:rFonts w:asciiTheme="minorHAnsi" w:eastAsiaTheme="minorHAnsi" w:hAnsiTheme="minorHAns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5422">
      <w:bodyDiv w:val="1"/>
      <w:marLeft w:val="0"/>
      <w:marRight w:val="0"/>
      <w:marTop w:val="0"/>
      <w:marBottom w:val="0"/>
      <w:divBdr>
        <w:top w:val="none" w:sz="0" w:space="0" w:color="auto"/>
        <w:left w:val="none" w:sz="0" w:space="0" w:color="auto"/>
        <w:bottom w:val="none" w:sz="0" w:space="0" w:color="auto"/>
        <w:right w:val="none" w:sz="0" w:space="0" w:color="auto"/>
      </w:divBdr>
    </w:div>
    <w:div w:id="16505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fo-coronavirus.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vid19@riziv-inami.fgov.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2020-04-29T22:00:00+00:00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E3080-9960-4513-965F-1D4A610285C2}"/>
</file>

<file path=customXml/itemProps2.xml><?xml version="1.0" encoding="utf-8"?>
<ds:datastoreItem xmlns:ds="http://schemas.openxmlformats.org/officeDocument/2006/customXml" ds:itemID="{187FF7C9-3C53-451D-9A7D-49901940A7BB}"/>
</file>

<file path=customXml/itemProps3.xml><?xml version="1.0" encoding="utf-8"?>
<ds:datastoreItem xmlns:ds="http://schemas.openxmlformats.org/officeDocument/2006/customXml" ds:itemID="{9CED081E-E761-4CAA-A0A8-C8D7937D38B4}"/>
</file>

<file path=customXml/itemProps4.xml><?xml version="1.0" encoding="utf-8"?>
<ds:datastoreItem xmlns:ds="http://schemas.openxmlformats.org/officeDocument/2006/customXml" ds:itemID="{EFBE823C-CF28-4B8E-985F-988B46DFE8A8}"/>
</file>

<file path=docProps/app.xml><?xml version="1.0" encoding="utf-8"?>
<Properties xmlns="http://schemas.openxmlformats.org/officeDocument/2006/extended-properties" xmlns:vt="http://schemas.openxmlformats.org/officeDocument/2006/docPropsVTypes">
  <Template>55B98015.dotm</Template>
  <TotalTime>0</TotalTime>
  <Pages>3</Pages>
  <Words>805</Words>
  <Characters>4431</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Liesenborghs (RIZIV-INAMI)</dc:creator>
  <cp:keywords/>
  <dc:description/>
  <cp:lastModifiedBy>Bruno De Bolle (RIZIV-INAMI)</cp:lastModifiedBy>
  <cp:revision>2</cp:revision>
  <dcterms:created xsi:type="dcterms:W3CDTF">2020-04-30T07:18:00Z</dcterms:created>
  <dcterms:modified xsi:type="dcterms:W3CDTF">2020-04-30T07:18:00Z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Order">
    <vt:r8>3166100</vt:r8>
  </property>
  <property fmtid="{D5CDD505-2E9C-101B-9397-08002B2CF9AE}" pid="4" name="RITargetGroup">
    <vt:lpwstr/>
  </property>
  <property fmtid="{D5CDD505-2E9C-101B-9397-08002B2CF9AE}" pid="5" name="xd_Signature">
    <vt:bool>false</vt:bool>
  </property>
  <property fmtid="{D5CDD505-2E9C-101B-9397-08002B2CF9AE}" pid="6" name="RITheme">
    <vt:lpwstr/>
  </property>
  <property fmtid="{D5CDD505-2E9C-101B-9397-08002B2CF9AE}" pid="7" name="RILanguage">
    <vt:lpwstr/>
  </property>
  <property fmtid="{D5CDD505-2E9C-101B-9397-08002B2CF9AE}" pid="8" name="xd_ProgID">
    <vt:lpwstr/>
  </property>
  <property fmtid="{D5CDD505-2E9C-101B-9397-08002B2CF9AE}" pid="9" name="RIDocType">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